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E7C39" w14:textId="6495776F" w:rsidR="00196E3D" w:rsidRPr="004E2974" w:rsidRDefault="00426BFD">
      <w:pPr>
        <w:rPr>
          <w:rFonts w:ascii="Times New Roman" w:hAnsi="Times New Roman" w:cs="Times New Roman"/>
          <w:b/>
          <w:bCs/>
          <w:sz w:val="24"/>
          <w:szCs w:val="24"/>
        </w:rPr>
      </w:pPr>
      <w:r w:rsidRPr="004E2974">
        <w:rPr>
          <w:rFonts w:ascii="Times New Roman" w:hAnsi="Times New Roman" w:cs="Times New Roman"/>
          <w:b/>
          <w:bCs/>
          <w:sz w:val="24"/>
          <w:szCs w:val="24"/>
        </w:rPr>
        <w:t xml:space="preserve">Meremäe detailplaneeringu avalikul väljapanekul </w:t>
      </w:r>
      <w:r w:rsidR="00853957" w:rsidRPr="004E2974">
        <w:rPr>
          <w:rFonts w:ascii="Times New Roman" w:hAnsi="Times New Roman" w:cs="Times New Roman"/>
          <w:b/>
          <w:bCs/>
          <w:sz w:val="24"/>
          <w:szCs w:val="24"/>
        </w:rPr>
        <w:t xml:space="preserve">ja peale avaliku väljapaneku lõppu </w:t>
      </w:r>
      <w:r w:rsidRPr="004E2974">
        <w:rPr>
          <w:rFonts w:ascii="Times New Roman" w:hAnsi="Times New Roman" w:cs="Times New Roman"/>
          <w:b/>
          <w:bCs/>
          <w:sz w:val="24"/>
          <w:szCs w:val="24"/>
        </w:rPr>
        <w:t>esitatud ettepanekute ja vastuste koondtabel</w:t>
      </w:r>
    </w:p>
    <w:tbl>
      <w:tblPr>
        <w:tblStyle w:val="Kontuurtabel"/>
        <w:tblW w:w="0" w:type="auto"/>
        <w:tblLook w:val="04A0" w:firstRow="1" w:lastRow="0" w:firstColumn="1" w:lastColumn="0" w:noHBand="0" w:noVBand="1"/>
      </w:tblPr>
      <w:tblGrid>
        <w:gridCol w:w="1129"/>
        <w:gridCol w:w="2552"/>
        <w:gridCol w:w="4961"/>
        <w:gridCol w:w="5352"/>
      </w:tblGrid>
      <w:tr w:rsidR="00426BFD" w14:paraId="084774E9" w14:textId="77777777" w:rsidTr="00426BFD">
        <w:tc>
          <w:tcPr>
            <w:tcW w:w="1129" w:type="dxa"/>
          </w:tcPr>
          <w:p w14:paraId="713D0B31" w14:textId="450F3356" w:rsidR="00426BFD" w:rsidRDefault="00426BFD">
            <w:pPr>
              <w:rPr>
                <w:rFonts w:ascii="Times New Roman" w:hAnsi="Times New Roman" w:cs="Times New Roman"/>
                <w:sz w:val="24"/>
                <w:szCs w:val="24"/>
              </w:rPr>
            </w:pPr>
            <w:r>
              <w:rPr>
                <w:rFonts w:ascii="Times New Roman" w:hAnsi="Times New Roman" w:cs="Times New Roman"/>
                <w:sz w:val="24"/>
                <w:szCs w:val="24"/>
              </w:rPr>
              <w:t>Jrk.nr</w:t>
            </w:r>
          </w:p>
        </w:tc>
        <w:tc>
          <w:tcPr>
            <w:tcW w:w="2552" w:type="dxa"/>
          </w:tcPr>
          <w:p w14:paraId="4DE338CE" w14:textId="66EC088D" w:rsidR="00426BFD" w:rsidRDefault="00426BFD">
            <w:pPr>
              <w:rPr>
                <w:rFonts w:ascii="Times New Roman" w:hAnsi="Times New Roman" w:cs="Times New Roman"/>
                <w:sz w:val="24"/>
                <w:szCs w:val="24"/>
              </w:rPr>
            </w:pPr>
            <w:r>
              <w:rPr>
                <w:rFonts w:ascii="Times New Roman" w:hAnsi="Times New Roman" w:cs="Times New Roman"/>
                <w:sz w:val="24"/>
                <w:szCs w:val="24"/>
              </w:rPr>
              <w:t>Ettepaneku esitaja/ kirja laekumise kuupäev ja nr</w:t>
            </w:r>
          </w:p>
        </w:tc>
        <w:tc>
          <w:tcPr>
            <w:tcW w:w="4961" w:type="dxa"/>
          </w:tcPr>
          <w:p w14:paraId="21072728" w14:textId="6D6607C1" w:rsidR="00426BFD" w:rsidRDefault="00426BFD">
            <w:pPr>
              <w:rPr>
                <w:rFonts w:ascii="Times New Roman" w:hAnsi="Times New Roman" w:cs="Times New Roman"/>
                <w:sz w:val="24"/>
                <w:szCs w:val="24"/>
              </w:rPr>
            </w:pPr>
            <w:r>
              <w:rPr>
                <w:rFonts w:ascii="Times New Roman" w:hAnsi="Times New Roman" w:cs="Times New Roman"/>
                <w:sz w:val="24"/>
                <w:szCs w:val="24"/>
              </w:rPr>
              <w:t>Ettepaneku sisu</w:t>
            </w:r>
          </w:p>
        </w:tc>
        <w:tc>
          <w:tcPr>
            <w:tcW w:w="5352" w:type="dxa"/>
          </w:tcPr>
          <w:p w14:paraId="2A75E7B9" w14:textId="7BD6B961" w:rsidR="00426BFD" w:rsidRDefault="00426BFD">
            <w:pPr>
              <w:rPr>
                <w:rFonts w:ascii="Times New Roman" w:hAnsi="Times New Roman" w:cs="Times New Roman"/>
                <w:sz w:val="24"/>
                <w:szCs w:val="24"/>
              </w:rPr>
            </w:pPr>
            <w:r>
              <w:rPr>
                <w:rFonts w:ascii="Times New Roman" w:hAnsi="Times New Roman" w:cs="Times New Roman"/>
                <w:sz w:val="24"/>
                <w:szCs w:val="24"/>
              </w:rPr>
              <w:t>Detailplaneeringu koostamise korraldaja seisukoht</w:t>
            </w:r>
          </w:p>
        </w:tc>
      </w:tr>
      <w:tr w:rsidR="00426BFD" w14:paraId="3F889387" w14:textId="77777777" w:rsidTr="00426BFD">
        <w:trPr>
          <w:trHeight w:val="1575"/>
        </w:trPr>
        <w:tc>
          <w:tcPr>
            <w:tcW w:w="1129" w:type="dxa"/>
            <w:vMerge w:val="restart"/>
          </w:tcPr>
          <w:p w14:paraId="385CB3CF" w14:textId="505F2C4D" w:rsidR="00426BFD" w:rsidRDefault="00426BFD">
            <w:pPr>
              <w:rPr>
                <w:rFonts w:ascii="Times New Roman" w:hAnsi="Times New Roman" w:cs="Times New Roman"/>
                <w:sz w:val="24"/>
                <w:szCs w:val="24"/>
              </w:rPr>
            </w:pPr>
            <w:r>
              <w:rPr>
                <w:rFonts w:ascii="Times New Roman" w:hAnsi="Times New Roman" w:cs="Times New Roman"/>
                <w:sz w:val="24"/>
                <w:szCs w:val="24"/>
              </w:rPr>
              <w:t>1.</w:t>
            </w:r>
          </w:p>
        </w:tc>
        <w:tc>
          <w:tcPr>
            <w:tcW w:w="2552" w:type="dxa"/>
            <w:vMerge w:val="restart"/>
          </w:tcPr>
          <w:p w14:paraId="2267D9D8" w14:textId="77777777" w:rsidR="00426BFD" w:rsidRPr="001E5F5A" w:rsidRDefault="001E5F5A">
            <w:pPr>
              <w:rPr>
                <w:rFonts w:ascii="Times New Roman" w:hAnsi="Times New Roman" w:cs="Times New Roman"/>
                <w:b/>
                <w:bCs/>
                <w:sz w:val="24"/>
                <w:szCs w:val="24"/>
              </w:rPr>
            </w:pPr>
            <w:r w:rsidRPr="001E5F5A">
              <w:rPr>
                <w:rFonts w:ascii="Times New Roman" w:hAnsi="Times New Roman" w:cs="Times New Roman"/>
                <w:b/>
                <w:bCs/>
                <w:sz w:val="24"/>
                <w:szCs w:val="24"/>
              </w:rPr>
              <w:t>Inge Talts</w:t>
            </w:r>
          </w:p>
          <w:p w14:paraId="576AE9A2" w14:textId="0EF0AEE0" w:rsidR="001E5F5A" w:rsidRDefault="001E5F5A">
            <w:pPr>
              <w:rPr>
                <w:rFonts w:ascii="Times New Roman" w:hAnsi="Times New Roman" w:cs="Times New Roman"/>
                <w:sz w:val="24"/>
                <w:szCs w:val="24"/>
              </w:rPr>
            </w:pPr>
            <w:r>
              <w:rPr>
                <w:rFonts w:ascii="Times New Roman" w:hAnsi="Times New Roman" w:cs="Times New Roman"/>
                <w:sz w:val="24"/>
                <w:szCs w:val="24"/>
              </w:rPr>
              <w:t>14.03.2025</w:t>
            </w:r>
          </w:p>
        </w:tc>
        <w:tc>
          <w:tcPr>
            <w:tcW w:w="4961" w:type="dxa"/>
          </w:tcPr>
          <w:p w14:paraId="69E052AF" w14:textId="03B860C9" w:rsidR="001E5F5A" w:rsidRPr="001E5F5A" w:rsidRDefault="001E5F5A" w:rsidP="001E5F5A">
            <w:pPr>
              <w:rPr>
                <w:rFonts w:ascii="Times New Roman" w:hAnsi="Times New Roman" w:cs="Times New Roman"/>
                <w:sz w:val="24"/>
                <w:szCs w:val="24"/>
              </w:rPr>
            </w:pPr>
            <w:r w:rsidRPr="00E05D78">
              <w:rPr>
                <w:rFonts w:ascii="Times New Roman" w:hAnsi="Times New Roman" w:cs="Times New Roman"/>
                <w:sz w:val="24"/>
                <w:szCs w:val="24"/>
                <w:u w:val="single"/>
              </w:rPr>
              <w:t>Ettepanek 1</w:t>
            </w:r>
            <w:r w:rsidRPr="001E5F5A">
              <w:rPr>
                <w:rFonts w:ascii="Times New Roman" w:hAnsi="Times New Roman" w:cs="Times New Roman"/>
                <w:sz w:val="24"/>
                <w:szCs w:val="24"/>
              </w:rPr>
              <w:t>: seadusejärgses ehituskeeluvööndis lubada ehitiste renoveerimine või asendamine olemasolevate ehitiste mahus. Selleks</w:t>
            </w:r>
          </w:p>
          <w:p w14:paraId="35E40277" w14:textId="4D54745C" w:rsidR="001E5F5A" w:rsidRDefault="001E5F5A" w:rsidP="001E5F5A">
            <w:pPr>
              <w:rPr>
                <w:rFonts w:ascii="Times New Roman" w:hAnsi="Times New Roman" w:cs="Times New Roman"/>
                <w:sz w:val="24"/>
                <w:szCs w:val="24"/>
              </w:rPr>
            </w:pPr>
            <w:r w:rsidRPr="001E5F5A">
              <w:rPr>
                <w:rFonts w:ascii="Times New Roman" w:hAnsi="Times New Roman" w:cs="Times New Roman"/>
                <w:sz w:val="24"/>
                <w:szCs w:val="24"/>
              </w:rPr>
              <w:t>- esitada kõigi planeeringujärgsete ehitiste (üksikelamu, abihooned, sadamahoone) lubatud suurim ehitisealune pind iga hoone kohta eraldi</w:t>
            </w:r>
          </w:p>
          <w:p w14:paraId="27F09ABA" w14:textId="3C00C563" w:rsidR="001E5F5A" w:rsidRDefault="001E5F5A" w:rsidP="001E5F5A">
            <w:pPr>
              <w:rPr>
                <w:rFonts w:ascii="Times New Roman" w:hAnsi="Times New Roman" w:cs="Times New Roman"/>
                <w:sz w:val="24"/>
                <w:szCs w:val="24"/>
              </w:rPr>
            </w:pPr>
            <w:r w:rsidRPr="001E5F5A">
              <w:rPr>
                <w:rFonts w:ascii="Times New Roman" w:hAnsi="Times New Roman" w:cs="Times New Roman"/>
                <w:sz w:val="24"/>
                <w:szCs w:val="24"/>
              </w:rPr>
              <w:t>- lubada üksikelamul ja abihoonetel suurimat ehitisealust pinda kuni 20% olemasolevast suuremana</w:t>
            </w:r>
          </w:p>
          <w:p w14:paraId="663951BE" w14:textId="77777777" w:rsidR="00E05D78" w:rsidRDefault="00E05D78" w:rsidP="001E5F5A">
            <w:pPr>
              <w:rPr>
                <w:rFonts w:ascii="Times New Roman" w:hAnsi="Times New Roman" w:cs="Times New Roman"/>
                <w:sz w:val="24"/>
                <w:szCs w:val="24"/>
              </w:rPr>
            </w:pPr>
          </w:p>
          <w:p w14:paraId="205DC513" w14:textId="77777777" w:rsidR="00E05D78" w:rsidRDefault="00E05D78" w:rsidP="001E5F5A">
            <w:pPr>
              <w:rPr>
                <w:rFonts w:ascii="Times New Roman" w:hAnsi="Times New Roman" w:cs="Times New Roman"/>
                <w:sz w:val="24"/>
                <w:szCs w:val="24"/>
              </w:rPr>
            </w:pPr>
          </w:p>
          <w:p w14:paraId="61C453EE" w14:textId="77777777" w:rsidR="00E05D78" w:rsidRDefault="00E05D78" w:rsidP="001E5F5A">
            <w:pPr>
              <w:rPr>
                <w:rFonts w:ascii="Times New Roman" w:hAnsi="Times New Roman" w:cs="Times New Roman"/>
                <w:sz w:val="24"/>
                <w:szCs w:val="24"/>
              </w:rPr>
            </w:pPr>
          </w:p>
          <w:p w14:paraId="5182D1B8" w14:textId="77777777" w:rsidR="00E05D78" w:rsidRDefault="00E05D78" w:rsidP="001E5F5A">
            <w:pPr>
              <w:rPr>
                <w:rFonts w:ascii="Times New Roman" w:hAnsi="Times New Roman" w:cs="Times New Roman"/>
                <w:sz w:val="24"/>
                <w:szCs w:val="24"/>
              </w:rPr>
            </w:pPr>
          </w:p>
          <w:p w14:paraId="7F315A17" w14:textId="77777777" w:rsidR="00E05D78" w:rsidRDefault="00E05D78" w:rsidP="001E5F5A">
            <w:pPr>
              <w:rPr>
                <w:rFonts w:ascii="Times New Roman" w:hAnsi="Times New Roman" w:cs="Times New Roman"/>
                <w:sz w:val="24"/>
                <w:szCs w:val="24"/>
              </w:rPr>
            </w:pPr>
          </w:p>
          <w:p w14:paraId="55F11FD5" w14:textId="77777777" w:rsidR="00E05D78" w:rsidRDefault="00E05D78" w:rsidP="001E5F5A">
            <w:pPr>
              <w:rPr>
                <w:rFonts w:ascii="Times New Roman" w:hAnsi="Times New Roman" w:cs="Times New Roman"/>
                <w:sz w:val="24"/>
                <w:szCs w:val="24"/>
              </w:rPr>
            </w:pPr>
          </w:p>
          <w:p w14:paraId="41F8996B" w14:textId="77777777" w:rsidR="00E05D78" w:rsidRDefault="00E05D78" w:rsidP="001E5F5A">
            <w:pPr>
              <w:rPr>
                <w:rFonts w:ascii="Times New Roman" w:hAnsi="Times New Roman" w:cs="Times New Roman"/>
                <w:sz w:val="24"/>
                <w:szCs w:val="24"/>
              </w:rPr>
            </w:pPr>
          </w:p>
          <w:p w14:paraId="37F8CE14" w14:textId="77777777" w:rsidR="00E05D78" w:rsidRDefault="00E05D78" w:rsidP="001E5F5A">
            <w:pPr>
              <w:rPr>
                <w:rFonts w:ascii="Times New Roman" w:hAnsi="Times New Roman" w:cs="Times New Roman"/>
                <w:sz w:val="24"/>
                <w:szCs w:val="24"/>
              </w:rPr>
            </w:pPr>
          </w:p>
          <w:p w14:paraId="1C7E873F" w14:textId="77777777" w:rsidR="00E05D78" w:rsidRDefault="00E05D78" w:rsidP="001E5F5A">
            <w:pPr>
              <w:rPr>
                <w:rFonts w:ascii="Times New Roman" w:hAnsi="Times New Roman" w:cs="Times New Roman"/>
                <w:sz w:val="24"/>
                <w:szCs w:val="24"/>
              </w:rPr>
            </w:pPr>
          </w:p>
          <w:p w14:paraId="3CE59B71" w14:textId="77777777" w:rsidR="00E05D78" w:rsidRDefault="00E05D78" w:rsidP="001E5F5A">
            <w:pPr>
              <w:rPr>
                <w:rFonts w:ascii="Times New Roman" w:hAnsi="Times New Roman" w:cs="Times New Roman"/>
                <w:sz w:val="24"/>
                <w:szCs w:val="24"/>
              </w:rPr>
            </w:pPr>
          </w:p>
          <w:p w14:paraId="582FE577" w14:textId="77777777" w:rsidR="00E05D78" w:rsidRDefault="00E05D78" w:rsidP="001E5F5A">
            <w:pPr>
              <w:rPr>
                <w:rFonts w:ascii="Times New Roman" w:hAnsi="Times New Roman" w:cs="Times New Roman"/>
                <w:sz w:val="24"/>
                <w:szCs w:val="24"/>
              </w:rPr>
            </w:pPr>
          </w:p>
          <w:p w14:paraId="7B3EFD27" w14:textId="77777777" w:rsidR="00E05D78" w:rsidRDefault="00E05D78" w:rsidP="001E5F5A">
            <w:pPr>
              <w:rPr>
                <w:rFonts w:ascii="Times New Roman" w:hAnsi="Times New Roman" w:cs="Times New Roman"/>
                <w:sz w:val="24"/>
                <w:szCs w:val="24"/>
              </w:rPr>
            </w:pPr>
          </w:p>
          <w:p w14:paraId="42A64943" w14:textId="77777777" w:rsidR="00E05D78" w:rsidRDefault="00E05D78" w:rsidP="001E5F5A">
            <w:pPr>
              <w:rPr>
                <w:rFonts w:ascii="Times New Roman" w:hAnsi="Times New Roman" w:cs="Times New Roman"/>
                <w:sz w:val="24"/>
                <w:szCs w:val="24"/>
              </w:rPr>
            </w:pPr>
          </w:p>
          <w:p w14:paraId="6837F54D" w14:textId="77777777" w:rsidR="00E05D78" w:rsidRDefault="00E05D78" w:rsidP="001E5F5A">
            <w:pPr>
              <w:rPr>
                <w:rFonts w:ascii="Times New Roman" w:hAnsi="Times New Roman" w:cs="Times New Roman"/>
                <w:sz w:val="24"/>
                <w:szCs w:val="24"/>
              </w:rPr>
            </w:pPr>
          </w:p>
          <w:p w14:paraId="3B91D919" w14:textId="546CA9C3" w:rsidR="00426BFD" w:rsidRDefault="001E5F5A" w:rsidP="001E5F5A">
            <w:pPr>
              <w:rPr>
                <w:rFonts w:ascii="Times New Roman" w:hAnsi="Times New Roman" w:cs="Times New Roman"/>
                <w:sz w:val="24"/>
                <w:szCs w:val="24"/>
              </w:rPr>
            </w:pPr>
            <w:r w:rsidRPr="001E5F5A">
              <w:rPr>
                <w:rFonts w:ascii="Times New Roman" w:hAnsi="Times New Roman" w:cs="Times New Roman"/>
                <w:sz w:val="24"/>
                <w:szCs w:val="24"/>
              </w:rPr>
              <w:t>- lubada sadamahoone ehitisealune pind kuni 60 m</w:t>
            </w:r>
            <w:r w:rsidRPr="00853957">
              <w:rPr>
                <w:rFonts w:ascii="Times New Roman" w:hAnsi="Times New Roman" w:cs="Times New Roman"/>
                <w:sz w:val="24"/>
                <w:szCs w:val="24"/>
                <w:vertAlign w:val="superscript"/>
              </w:rPr>
              <w:t>2</w:t>
            </w:r>
          </w:p>
        </w:tc>
        <w:tc>
          <w:tcPr>
            <w:tcW w:w="5352" w:type="dxa"/>
          </w:tcPr>
          <w:p w14:paraId="1B2D0AF1" w14:textId="2DF98CF4" w:rsidR="003C1C62" w:rsidRPr="003C1C62" w:rsidRDefault="003C1C62" w:rsidP="003C1C62">
            <w:pPr>
              <w:rPr>
                <w:rFonts w:ascii="Times New Roman" w:hAnsi="Times New Roman" w:cs="Times New Roman"/>
                <w:sz w:val="24"/>
                <w:szCs w:val="24"/>
              </w:rPr>
            </w:pPr>
            <w:r>
              <w:rPr>
                <w:rFonts w:ascii="Times New Roman" w:hAnsi="Times New Roman" w:cs="Times New Roman"/>
                <w:sz w:val="24"/>
                <w:szCs w:val="24"/>
              </w:rPr>
              <w:t>D</w:t>
            </w:r>
            <w:r w:rsidRPr="003C1C62">
              <w:rPr>
                <w:rFonts w:ascii="Times New Roman" w:hAnsi="Times New Roman" w:cs="Times New Roman"/>
                <w:sz w:val="24"/>
                <w:szCs w:val="24"/>
              </w:rPr>
              <w:t xml:space="preserve">etailplaneeringuga (DP) määratakse hoonete maksimaalsed mahud ja üldine asukoht. DP peab võimaldama teatud ulatuses paindlikkust, kuna DP staadium on üldisem ega kavanda ehitisi ja nende paigutumist krundile piisava täpsusega. Projekteerimise etapis peab jääma võimalus erinevaid asjaolusid arvesse võttes leida hoonetele sobivaimad suurused ja asukohad. </w:t>
            </w:r>
          </w:p>
          <w:p w14:paraId="2A097F2B" w14:textId="77777777" w:rsidR="003C1C62" w:rsidRPr="003C1C62" w:rsidRDefault="003C1C62" w:rsidP="003C1C62">
            <w:pPr>
              <w:rPr>
                <w:rFonts w:ascii="Times New Roman" w:hAnsi="Times New Roman" w:cs="Times New Roman"/>
                <w:sz w:val="24"/>
                <w:szCs w:val="24"/>
              </w:rPr>
            </w:pPr>
            <w:r w:rsidRPr="003C1C62">
              <w:rPr>
                <w:rFonts w:ascii="Times New Roman" w:hAnsi="Times New Roman" w:cs="Times New Roman"/>
                <w:sz w:val="24"/>
                <w:szCs w:val="24"/>
              </w:rPr>
              <w:t xml:space="preserve">Ilma detailplaneeringut koostamata on lubatud hooneid korrastada ja ka laiendada kuni 33% hoone mahust. Samuti on võimalik ilma DP-d koostamata rajada uusi hooneid olemasolevale õuemaale hoonete vahele.  Maaomanikule pole need võimalused olnud sobivad, kuna soovitud on uusi hooneid teistsuguses paigutuses, mistõttu on soovitud lahendusteni liikumiseks koostatud detailplaneering ehk oluliselt koormavam protsess. Uued soovid olid omavalitsusele teada juba DP-d algatades. Planeeritav hooviala koos kavandatavate hoonetega jääb teest eemale, puude varju ega hakka kujundama piirkonna miljööd, seetõttu pole omavalitsusel põhjust seada ka omandile liigseid piiranguid.  </w:t>
            </w:r>
          </w:p>
          <w:p w14:paraId="49605044" w14:textId="77777777" w:rsidR="003C1C62" w:rsidRPr="003C1C62" w:rsidRDefault="003C1C62" w:rsidP="003C1C62">
            <w:pPr>
              <w:rPr>
                <w:rFonts w:ascii="Times New Roman" w:hAnsi="Times New Roman" w:cs="Times New Roman"/>
                <w:sz w:val="24"/>
                <w:szCs w:val="24"/>
              </w:rPr>
            </w:pPr>
          </w:p>
          <w:p w14:paraId="6542677A" w14:textId="7BD916A5" w:rsidR="001E5F5A" w:rsidRDefault="003C1C62" w:rsidP="003C1C62">
            <w:pPr>
              <w:rPr>
                <w:rFonts w:ascii="Times New Roman" w:hAnsi="Times New Roman" w:cs="Times New Roman"/>
                <w:sz w:val="24"/>
                <w:szCs w:val="24"/>
              </w:rPr>
            </w:pPr>
            <w:r w:rsidRPr="003C1C62">
              <w:rPr>
                <w:rFonts w:ascii="Times New Roman" w:hAnsi="Times New Roman" w:cs="Times New Roman"/>
                <w:sz w:val="24"/>
                <w:szCs w:val="24"/>
              </w:rPr>
              <w:t xml:space="preserve">- Sadamahoone suuruse piiramine 60 ruutmeerini pole põhjendatud. Kui sadamasse lubada hoone rajamist, siis peab see olema funktsionaalne ning võimaldama kogu sadama jaoks vajaliku varustuse hoiustamist. Sadama maa-ala suurusega võrreldes ei </w:t>
            </w:r>
            <w:r w:rsidRPr="003C1C62">
              <w:rPr>
                <w:rFonts w:ascii="Times New Roman" w:hAnsi="Times New Roman" w:cs="Times New Roman"/>
                <w:sz w:val="24"/>
                <w:szCs w:val="24"/>
              </w:rPr>
              <w:lastRenderedPageBreak/>
              <w:t>ole 100m</w:t>
            </w:r>
            <w:r w:rsidRPr="003C1C62">
              <w:rPr>
                <w:rFonts w:ascii="Times New Roman" w:hAnsi="Times New Roman" w:cs="Times New Roman"/>
                <w:sz w:val="24"/>
                <w:szCs w:val="24"/>
                <w:vertAlign w:val="superscript"/>
              </w:rPr>
              <w:t>2</w:t>
            </w:r>
            <w:r w:rsidRPr="003C1C62">
              <w:rPr>
                <w:rFonts w:ascii="Times New Roman" w:hAnsi="Times New Roman" w:cs="Times New Roman"/>
                <w:sz w:val="24"/>
                <w:szCs w:val="24"/>
              </w:rPr>
              <w:t xml:space="preserve"> ehitis ebaproportsionaalselt suur, kuid aitab vältida lahtise </w:t>
            </w:r>
            <w:r>
              <w:rPr>
                <w:rFonts w:ascii="Times New Roman" w:hAnsi="Times New Roman" w:cs="Times New Roman"/>
                <w:sz w:val="24"/>
                <w:szCs w:val="24"/>
              </w:rPr>
              <w:t>sadamainventari</w:t>
            </w:r>
            <w:r w:rsidRPr="003C1C62">
              <w:rPr>
                <w:rFonts w:ascii="Times New Roman" w:hAnsi="Times New Roman" w:cs="Times New Roman"/>
                <w:sz w:val="24"/>
                <w:szCs w:val="24"/>
              </w:rPr>
              <w:t xml:space="preserve"> õues hoiustamist ja / või tuultega laiali pillutamist.</w:t>
            </w:r>
          </w:p>
        </w:tc>
      </w:tr>
      <w:tr w:rsidR="00426BFD" w14:paraId="6513F0B2" w14:textId="77777777" w:rsidTr="00426BFD">
        <w:trPr>
          <w:trHeight w:val="342"/>
        </w:trPr>
        <w:tc>
          <w:tcPr>
            <w:tcW w:w="1129" w:type="dxa"/>
            <w:vMerge/>
          </w:tcPr>
          <w:p w14:paraId="1E59375E" w14:textId="77777777" w:rsidR="00426BFD" w:rsidRDefault="00426BFD">
            <w:pPr>
              <w:rPr>
                <w:rFonts w:ascii="Times New Roman" w:hAnsi="Times New Roman" w:cs="Times New Roman"/>
                <w:sz w:val="24"/>
                <w:szCs w:val="24"/>
              </w:rPr>
            </w:pPr>
          </w:p>
        </w:tc>
        <w:tc>
          <w:tcPr>
            <w:tcW w:w="2552" w:type="dxa"/>
            <w:vMerge/>
          </w:tcPr>
          <w:p w14:paraId="5FADC3E0" w14:textId="77777777" w:rsidR="00426BFD" w:rsidRDefault="00426BFD">
            <w:pPr>
              <w:rPr>
                <w:rFonts w:ascii="Times New Roman" w:hAnsi="Times New Roman" w:cs="Times New Roman"/>
                <w:sz w:val="24"/>
                <w:szCs w:val="24"/>
              </w:rPr>
            </w:pPr>
          </w:p>
        </w:tc>
        <w:tc>
          <w:tcPr>
            <w:tcW w:w="4961" w:type="dxa"/>
          </w:tcPr>
          <w:p w14:paraId="28404118" w14:textId="04A14A40" w:rsidR="00426BFD" w:rsidRDefault="001E5F5A" w:rsidP="00853957">
            <w:pPr>
              <w:rPr>
                <w:rFonts w:ascii="Times New Roman" w:hAnsi="Times New Roman" w:cs="Times New Roman"/>
                <w:sz w:val="24"/>
                <w:szCs w:val="24"/>
              </w:rPr>
            </w:pPr>
            <w:r w:rsidRPr="00E05D78">
              <w:rPr>
                <w:rFonts w:ascii="Times New Roman" w:hAnsi="Times New Roman" w:cs="Times New Roman"/>
                <w:sz w:val="24"/>
                <w:szCs w:val="24"/>
                <w:u w:val="single"/>
              </w:rPr>
              <w:t>Ettepanek 2</w:t>
            </w:r>
            <w:r w:rsidRPr="001E5F5A">
              <w:rPr>
                <w:rFonts w:ascii="Times New Roman" w:hAnsi="Times New Roman" w:cs="Times New Roman"/>
                <w:sz w:val="24"/>
                <w:szCs w:val="24"/>
              </w:rPr>
              <w:t>: katusekaldena määrata 35</w:t>
            </w:r>
            <w:r w:rsidRPr="001E5F5A">
              <w:rPr>
                <w:rFonts w:ascii="Times New Roman" w:hAnsi="Times New Roman" w:cs="Times New Roman"/>
                <w:sz w:val="24"/>
                <w:szCs w:val="24"/>
                <w:vertAlign w:val="superscript"/>
              </w:rPr>
              <w:t>o</w:t>
            </w:r>
            <w:r w:rsidRPr="001E5F5A">
              <w:rPr>
                <w:rFonts w:ascii="Times New Roman" w:hAnsi="Times New Roman" w:cs="Times New Roman"/>
                <w:sz w:val="24"/>
                <w:szCs w:val="24"/>
              </w:rPr>
              <w:t>-45</w:t>
            </w:r>
            <w:r w:rsidRPr="001E5F5A">
              <w:rPr>
                <w:rFonts w:ascii="Times New Roman" w:hAnsi="Times New Roman" w:cs="Times New Roman"/>
                <w:sz w:val="24"/>
                <w:szCs w:val="24"/>
                <w:vertAlign w:val="superscript"/>
              </w:rPr>
              <w:t>o</w:t>
            </w:r>
          </w:p>
        </w:tc>
        <w:tc>
          <w:tcPr>
            <w:tcW w:w="5352" w:type="dxa"/>
          </w:tcPr>
          <w:p w14:paraId="440DEB98" w14:textId="162873B7" w:rsidR="00426BFD" w:rsidRPr="00426BFD" w:rsidRDefault="001E5F5A" w:rsidP="00853957">
            <w:pPr>
              <w:rPr>
                <w:rFonts w:ascii="Times New Roman" w:hAnsi="Times New Roman" w:cs="Times New Roman"/>
                <w:sz w:val="24"/>
                <w:szCs w:val="24"/>
              </w:rPr>
            </w:pPr>
            <w:r w:rsidRPr="001E5F5A">
              <w:rPr>
                <w:rFonts w:ascii="Times New Roman" w:hAnsi="Times New Roman" w:cs="Times New Roman"/>
                <w:sz w:val="24"/>
                <w:szCs w:val="24"/>
              </w:rPr>
              <w:t xml:space="preserve">Katusekalded on määratud planeeringualal </w:t>
            </w:r>
            <w:r>
              <w:rPr>
                <w:rFonts w:ascii="Times New Roman" w:hAnsi="Times New Roman" w:cs="Times New Roman"/>
                <w:sz w:val="24"/>
                <w:szCs w:val="24"/>
              </w:rPr>
              <w:t xml:space="preserve">arvestades </w:t>
            </w:r>
            <w:r w:rsidRPr="001E5F5A">
              <w:rPr>
                <w:rFonts w:ascii="Times New Roman" w:hAnsi="Times New Roman" w:cs="Times New Roman"/>
                <w:sz w:val="24"/>
                <w:szCs w:val="24"/>
              </w:rPr>
              <w:t xml:space="preserve">olemasolevate hoonete katusekaldeid. Kuna hoonestusala hooned ei ole avalikult teelt vaadeldavad ning </w:t>
            </w:r>
            <w:r w:rsidR="00D56D92">
              <w:rPr>
                <w:rFonts w:ascii="Times New Roman" w:hAnsi="Times New Roman" w:cs="Times New Roman"/>
                <w:sz w:val="24"/>
                <w:szCs w:val="24"/>
              </w:rPr>
              <w:t xml:space="preserve">on nähtavad ainult </w:t>
            </w:r>
            <w:r w:rsidRPr="001E5F5A">
              <w:rPr>
                <w:rFonts w:ascii="Times New Roman" w:hAnsi="Times New Roman" w:cs="Times New Roman"/>
                <w:sz w:val="24"/>
                <w:szCs w:val="24"/>
              </w:rPr>
              <w:t xml:space="preserve">piiratud ulatusest mere poolt, siis säilitatakse planeeringualal arhitektuurse vabaduse eesmärgil olemasolevate hoonete katusekalded. </w:t>
            </w:r>
          </w:p>
        </w:tc>
      </w:tr>
      <w:tr w:rsidR="00426BFD" w14:paraId="7919C54C" w14:textId="77777777" w:rsidTr="00426BFD">
        <w:trPr>
          <w:trHeight w:val="240"/>
        </w:trPr>
        <w:tc>
          <w:tcPr>
            <w:tcW w:w="1129" w:type="dxa"/>
            <w:vMerge/>
          </w:tcPr>
          <w:p w14:paraId="596F4C98" w14:textId="77777777" w:rsidR="00426BFD" w:rsidRDefault="00426BFD">
            <w:pPr>
              <w:rPr>
                <w:rFonts w:ascii="Times New Roman" w:hAnsi="Times New Roman" w:cs="Times New Roman"/>
                <w:sz w:val="24"/>
                <w:szCs w:val="24"/>
              </w:rPr>
            </w:pPr>
          </w:p>
        </w:tc>
        <w:tc>
          <w:tcPr>
            <w:tcW w:w="2552" w:type="dxa"/>
            <w:vMerge/>
          </w:tcPr>
          <w:p w14:paraId="1DDA3D36" w14:textId="77777777" w:rsidR="00426BFD" w:rsidRDefault="00426BFD">
            <w:pPr>
              <w:rPr>
                <w:rFonts w:ascii="Times New Roman" w:hAnsi="Times New Roman" w:cs="Times New Roman"/>
                <w:sz w:val="24"/>
                <w:szCs w:val="24"/>
              </w:rPr>
            </w:pPr>
          </w:p>
        </w:tc>
        <w:tc>
          <w:tcPr>
            <w:tcW w:w="4961" w:type="dxa"/>
          </w:tcPr>
          <w:p w14:paraId="586AF9DC" w14:textId="3AAA2037" w:rsidR="00426BFD" w:rsidRDefault="001E5F5A" w:rsidP="00853957">
            <w:pPr>
              <w:rPr>
                <w:rFonts w:ascii="Times New Roman" w:hAnsi="Times New Roman" w:cs="Times New Roman"/>
                <w:sz w:val="24"/>
                <w:szCs w:val="24"/>
              </w:rPr>
            </w:pPr>
            <w:r w:rsidRPr="00E05D78">
              <w:rPr>
                <w:rFonts w:ascii="Times New Roman" w:hAnsi="Times New Roman" w:cs="Times New Roman"/>
                <w:sz w:val="24"/>
                <w:szCs w:val="24"/>
                <w:u w:val="single"/>
              </w:rPr>
              <w:t>Ettepanek 3</w:t>
            </w:r>
            <w:r w:rsidRPr="001E5F5A">
              <w:rPr>
                <w:rFonts w:ascii="Times New Roman" w:hAnsi="Times New Roman" w:cs="Times New Roman"/>
                <w:sz w:val="24"/>
                <w:szCs w:val="24"/>
              </w:rPr>
              <w:t>: hoonete kõrgus kuni 8 m maapinnast, sadamahoone 1-korruseline. Juhul, kui sadamahoone planeerida kahekorruseline, siis viia läbi visuaalne hindamine</w:t>
            </w:r>
          </w:p>
        </w:tc>
        <w:tc>
          <w:tcPr>
            <w:tcW w:w="5352" w:type="dxa"/>
          </w:tcPr>
          <w:p w14:paraId="1B00646F" w14:textId="008A4215" w:rsidR="00426BFD" w:rsidRPr="00426BFD" w:rsidRDefault="001E5F5A" w:rsidP="00853957">
            <w:pPr>
              <w:rPr>
                <w:rFonts w:ascii="Times New Roman" w:hAnsi="Times New Roman" w:cs="Times New Roman"/>
                <w:sz w:val="24"/>
                <w:szCs w:val="24"/>
              </w:rPr>
            </w:pPr>
            <w:r w:rsidRPr="001E5F5A">
              <w:rPr>
                <w:rFonts w:ascii="Times New Roman" w:hAnsi="Times New Roman" w:cs="Times New Roman"/>
                <w:sz w:val="24"/>
                <w:szCs w:val="24"/>
              </w:rPr>
              <w:t>Üldplaneeringuga on piirkonnas lubatud 8,5 m kõrgune hoonestus. Planeeringus on arvestatud hoonestusalal maapinna nõlvust ning seadusest tuleneva hoone kõrgus</w:t>
            </w:r>
            <w:r w:rsidR="00A74DFD">
              <w:rPr>
                <w:rFonts w:ascii="Times New Roman" w:hAnsi="Times New Roman" w:cs="Times New Roman"/>
                <w:sz w:val="24"/>
                <w:szCs w:val="24"/>
              </w:rPr>
              <w:t>e</w:t>
            </w:r>
            <w:r w:rsidRPr="001E5F5A">
              <w:rPr>
                <w:rFonts w:ascii="Times New Roman" w:hAnsi="Times New Roman" w:cs="Times New Roman"/>
                <w:sz w:val="24"/>
                <w:szCs w:val="24"/>
              </w:rPr>
              <w:t xml:space="preserve"> määramise normi: nõlval määratakse lähtepunktiks maapinna madalama ja kõrgema punkti keskmine. Näiteks arhitek</w:t>
            </w:r>
            <w:r w:rsidR="00A74DFD">
              <w:rPr>
                <w:rFonts w:ascii="Times New Roman" w:hAnsi="Times New Roman" w:cs="Times New Roman"/>
                <w:sz w:val="24"/>
                <w:szCs w:val="24"/>
              </w:rPr>
              <w:t>t</w:t>
            </w:r>
            <w:r w:rsidRPr="001E5F5A">
              <w:rPr>
                <w:rFonts w:ascii="Times New Roman" w:hAnsi="Times New Roman" w:cs="Times New Roman"/>
                <w:sz w:val="24"/>
                <w:szCs w:val="24"/>
              </w:rPr>
              <w:t>uurse eskiislahenduse koostamisel selgus, et maapinna keskmise kõrgusest 8,5 m hoone kõrguseks maapinna kõrgemas osas on hoone kõrgus 7,2 m</w:t>
            </w:r>
            <w:r>
              <w:rPr>
                <w:rFonts w:ascii="Times New Roman" w:hAnsi="Times New Roman" w:cs="Times New Roman"/>
                <w:sz w:val="24"/>
                <w:szCs w:val="24"/>
              </w:rPr>
              <w:t xml:space="preserve">. </w:t>
            </w:r>
            <w:r w:rsidRPr="001E5F5A">
              <w:rPr>
                <w:rFonts w:ascii="Times New Roman" w:hAnsi="Times New Roman" w:cs="Times New Roman"/>
                <w:sz w:val="24"/>
                <w:szCs w:val="24"/>
              </w:rPr>
              <w:t>Naabersadamates on kõikide sadamahoonete katusekalded sellised, et nendes on võimalik välja ehitada teine korrus. Soovituslikult võiks Meremäe sadama sadamahoone arhitek</w:t>
            </w:r>
            <w:r w:rsidR="00A74DFD">
              <w:rPr>
                <w:rFonts w:ascii="Times New Roman" w:hAnsi="Times New Roman" w:cs="Times New Roman"/>
                <w:sz w:val="24"/>
                <w:szCs w:val="24"/>
              </w:rPr>
              <w:t>t</w:t>
            </w:r>
            <w:r w:rsidRPr="001E5F5A">
              <w:rPr>
                <w:rFonts w:ascii="Times New Roman" w:hAnsi="Times New Roman" w:cs="Times New Roman"/>
                <w:sz w:val="24"/>
                <w:szCs w:val="24"/>
              </w:rPr>
              <w:t xml:space="preserve">uurne lahendus olla sarnaste tunnustega nagu naabersadamate hooned. Planeeringuga määratud sadamahoone kõrgus 6,0 m piiritleb detailplaneeringu järgset projekteerimist juba piisavalt. Mõistmatuks jääb sadamahoone kahe korruse lubamisel arhitektuurne visuaalne hindamine, kuna see oleks väga subjektiivse loomuga. </w:t>
            </w:r>
          </w:p>
        </w:tc>
      </w:tr>
      <w:tr w:rsidR="00426BFD" w14:paraId="09176E82" w14:textId="77777777" w:rsidTr="00426BFD">
        <w:trPr>
          <w:trHeight w:val="300"/>
        </w:trPr>
        <w:tc>
          <w:tcPr>
            <w:tcW w:w="1129" w:type="dxa"/>
            <w:vMerge/>
          </w:tcPr>
          <w:p w14:paraId="028A994B" w14:textId="77777777" w:rsidR="00426BFD" w:rsidRDefault="00426BFD">
            <w:pPr>
              <w:rPr>
                <w:rFonts w:ascii="Times New Roman" w:hAnsi="Times New Roman" w:cs="Times New Roman"/>
                <w:sz w:val="24"/>
                <w:szCs w:val="24"/>
              </w:rPr>
            </w:pPr>
          </w:p>
        </w:tc>
        <w:tc>
          <w:tcPr>
            <w:tcW w:w="2552" w:type="dxa"/>
            <w:vMerge/>
          </w:tcPr>
          <w:p w14:paraId="1A2793BC" w14:textId="77777777" w:rsidR="00426BFD" w:rsidRDefault="00426BFD">
            <w:pPr>
              <w:rPr>
                <w:rFonts w:ascii="Times New Roman" w:hAnsi="Times New Roman" w:cs="Times New Roman"/>
                <w:sz w:val="24"/>
                <w:szCs w:val="24"/>
              </w:rPr>
            </w:pPr>
          </w:p>
        </w:tc>
        <w:tc>
          <w:tcPr>
            <w:tcW w:w="4961" w:type="dxa"/>
          </w:tcPr>
          <w:p w14:paraId="6AD472F0" w14:textId="2BA2A2D7" w:rsidR="001E5F5A" w:rsidRPr="001E5F5A" w:rsidRDefault="001E5F5A" w:rsidP="001E5F5A">
            <w:pPr>
              <w:rPr>
                <w:rFonts w:ascii="Times New Roman" w:hAnsi="Times New Roman" w:cs="Times New Roman"/>
                <w:sz w:val="24"/>
                <w:szCs w:val="24"/>
              </w:rPr>
            </w:pPr>
            <w:r w:rsidRPr="00E05D78">
              <w:rPr>
                <w:rFonts w:ascii="Times New Roman" w:hAnsi="Times New Roman" w:cs="Times New Roman"/>
                <w:sz w:val="24"/>
                <w:szCs w:val="24"/>
                <w:u w:val="single"/>
              </w:rPr>
              <w:t>Ettepanek 4</w:t>
            </w:r>
            <w:r w:rsidRPr="001E5F5A">
              <w:rPr>
                <w:rFonts w:ascii="Times New Roman" w:hAnsi="Times New Roman" w:cs="Times New Roman"/>
                <w:sz w:val="24"/>
                <w:szCs w:val="24"/>
              </w:rPr>
              <w:t>: jätta vähendamata ehituskeeluvöönd sadamasse tuleva tee ja sadamas asuva parkla osas. Sadamahoone piirkonnas planeerida hoonestusala kuni 240 m</w:t>
            </w:r>
            <w:r w:rsidRPr="001E5F5A">
              <w:rPr>
                <w:rFonts w:ascii="Times New Roman" w:hAnsi="Times New Roman" w:cs="Times New Roman"/>
                <w:sz w:val="24"/>
                <w:szCs w:val="24"/>
                <w:vertAlign w:val="superscript"/>
              </w:rPr>
              <w:t>2</w:t>
            </w:r>
          </w:p>
          <w:p w14:paraId="7B5B63B2" w14:textId="734A412B" w:rsidR="00426BFD" w:rsidRDefault="001E5F5A" w:rsidP="001E5F5A">
            <w:pPr>
              <w:rPr>
                <w:rFonts w:ascii="Times New Roman" w:hAnsi="Times New Roman" w:cs="Times New Roman"/>
                <w:sz w:val="24"/>
                <w:szCs w:val="24"/>
              </w:rPr>
            </w:pPr>
            <w:r w:rsidRPr="001E5F5A">
              <w:rPr>
                <w:rFonts w:ascii="Times New Roman" w:hAnsi="Times New Roman" w:cs="Times New Roman"/>
                <w:sz w:val="24"/>
                <w:szCs w:val="24"/>
              </w:rPr>
              <w:t>.</w:t>
            </w:r>
          </w:p>
        </w:tc>
        <w:tc>
          <w:tcPr>
            <w:tcW w:w="5352" w:type="dxa"/>
          </w:tcPr>
          <w:p w14:paraId="7C0C90AE" w14:textId="05E89812" w:rsidR="00426BFD" w:rsidRDefault="001E5F5A" w:rsidP="00853957">
            <w:pPr>
              <w:rPr>
                <w:rFonts w:ascii="Times New Roman" w:hAnsi="Times New Roman" w:cs="Times New Roman"/>
                <w:sz w:val="24"/>
                <w:szCs w:val="24"/>
              </w:rPr>
            </w:pPr>
            <w:r w:rsidRPr="001E5F5A">
              <w:rPr>
                <w:rFonts w:ascii="Times New Roman" w:hAnsi="Times New Roman" w:cs="Times New Roman"/>
                <w:sz w:val="24"/>
                <w:szCs w:val="24"/>
              </w:rPr>
              <w:t xml:space="preserve">Sadamasse tuleva tee ja manööverdamisplatsi rajamine on vajalik, sest maaüksuse omanik on kutseline kalur ja talle on vajalik transpordiga oma sadamale juurdepääs. Lähedal asuvate sadamatest Meremäe sadamale juurdepääs puudub ning sadama-alad on lukustatud. Samuti on Päästeameti nõudel Meremäe sadamasse ette nähtud tuletõrje veevõtukoha rajamine, sellepärast peab olema tagatud päästetehnika juurdepääs sadamale. Detailplaneeringuga on määratud sadamahoone ehitisealune pind, samuti on määratud sadama maa-ala, kus on määratud hoonestusala sadamahoone rajamiseks. Jääb mõistmatuks, miks on vajalik detailplaneeringu staadiumis määrata hoone täpne asukoht nagu esitatud märkusest tuletada võib. Täna ei ole teada, milline </w:t>
            </w:r>
            <w:r w:rsidR="00A74DFD" w:rsidRPr="001E5F5A">
              <w:rPr>
                <w:rFonts w:ascii="Times New Roman" w:hAnsi="Times New Roman" w:cs="Times New Roman"/>
                <w:sz w:val="24"/>
                <w:szCs w:val="24"/>
              </w:rPr>
              <w:t xml:space="preserve">tuleb </w:t>
            </w:r>
            <w:r w:rsidRPr="001E5F5A">
              <w:rPr>
                <w:rFonts w:ascii="Times New Roman" w:hAnsi="Times New Roman" w:cs="Times New Roman"/>
                <w:sz w:val="24"/>
                <w:szCs w:val="24"/>
              </w:rPr>
              <w:t xml:space="preserve">sadamahoone arhitektuurne lahendus </w:t>
            </w:r>
            <w:r w:rsidR="00A74DFD">
              <w:rPr>
                <w:rFonts w:ascii="Times New Roman" w:hAnsi="Times New Roman" w:cs="Times New Roman"/>
                <w:sz w:val="24"/>
                <w:szCs w:val="24"/>
              </w:rPr>
              <w:t>ega</w:t>
            </w:r>
            <w:r w:rsidRPr="001E5F5A">
              <w:rPr>
                <w:rFonts w:ascii="Times New Roman" w:hAnsi="Times New Roman" w:cs="Times New Roman"/>
                <w:sz w:val="24"/>
                <w:szCs w:val="24"/>
              </w:rPr>
              <w:t xml:space="preserve"> </w:t>
            </w:r>
            <w:r w:rsidR="00A74DFD">
              <w:rPr>
                <w:rFonts w:ascii="Times New Roman" w:hAnsi="Times New Roman" w:cs="Times New Roman"/>
                <w:sz w:val="24"/>
                <w:szCs w:val="24"/>
              </w:rPr>
              <w:t>sadamahoone</w:t>
            </w:r>
            <w:r w:rsidRPr="001E5F5A">
              <w:rPr>
                <w:rFonts w:ascii="Times New Roman" w:hAnsi="Times New Roman" w:cs="Times New Roman"/>
                <w:sz w:val="24"/>
                <w:szCs w:val="24"/>
              </w:rPr>
              <w:t xml:space="preserve"> täpne asukoht. </w:t>
            </w:r>
          </w:p>
        </w:tc>
      </w:tr>
      <w:tr w:rsidR="00426BFD" w14:paraId="50EF062D" w14:textId="77777777" w:rsidTr="00426BFD">
        <w:trPr>
          <w:trHeight w:val="270"/>
        </w:trPr>
        <w:tc>
          <w:tcPr>
            <w:tcW w:w="1129" w:type="dxa"/>
            <w:vMerge/>
          </w:tcPr>
          <w:p w14:paraId="50EC4A04" w14:textId="77777777" w:rsidR="00426BFD" w:rsidRDefault="00426BFD">
            <w:pPr>
              <w:rPr>
                <w:rFonts w:ascii="Times New Roman" w:hAnsi="Times New Roman" w:cs="Times New Roman"/>
                <w:sz w:val="24"/>
                <w:szCs w:val="24"/>
              </w:rPr>
            </w:pPr>
          </w:p>
        </w:tc>
        <w:tc>
          <w:tcPr>
            <w:tcW w:w="2552" w:type="dxa"/>
            <w:vMerge/>
          </w:tcPr>
          <w:p w14:paraId="13E0584B" w14:textId="77777777" w:rsidR="00426BFD" w:rsidRDefault="00426BFD">
            <w:pPr>
              <w:rPr>
                <w:rFonts w:ascii="Times New Roman" w:hAnsi="Times New Roman" w:cs="Times New Roman"/>
                <w:sz w:val="24"/>
                <w:szCs w:val="24"/>
              </w:rPr>
            </w:pPr>
          </w:p>
        </w:tc>
        <w:tc>
          <w:tcPr>
            <w:tcW w:w="4961" w:type="dxa"/>
          </w:tcPr>
          <w:p w14:paraId="20A7EABF" w14:textId="194DE92D" w:rsidR="00426BFD" w:rsidRDefault="001E5F5A" w:rsidP="00853957">
            <w:pPr>
              <w:rPr>
                <w:rFonts w:ascii="Times New Roman" w:hAnsi="Times New Roman" w:cs="Times New Roman"/>
                <w:sz w:val="24"/>
                <w:szCs w:val="24"/>
              </w:rPr>
            </w:pPr>
            <w:r w:rsidRPr="00E05D78">
              <w:rPr>
                <w:rFonts w:ascii="Times New Roman" w:hAnsi="Times New Roman" w:cs="Times New Roman"/>
                <w:sz w:val="24"/>
                <w:szCs w:val="24"/>
                <w:u w:val="single"/>
              </w:rPr>
              <w:t>Ettepanek 5</w:t>
            </w:r>
            <w:r w:rsidRPr="001E5F5A">
              <w:rPr>
                <w:rFonts w:ascii="Times New Roman" w:hAnsi="Times New Roman" w:cs="Times New Roman"/>
                <w:sz w:val="24"/>
                <w:szCs w:val="24"/>
              </w:rPr>
              <w:t>: kaaluda planeeritava kai mõõtmete vähendamist. Vees toimuvate ehitus- ja süvendustööde eel näha ette KMH läbiviimine.</w:t>
            </w:r>
          </w:p>
        </w:tc>
        <w:tc>
          <w:tcPr>
            <w:tcW w:w="5352" w:type="dxa"/>
          </w:tcPr>
          <w:p w14:paraId="64E56F63" w14:textId="4AB2B57B" w:rsidR="00426BFD" w:rsidRDefault="003C1C62" w:rsidP="00853957">
            <w:pPr>
              <w:rPr>
                <w:rFonts w:ascii="Times New Roman" w:hAnsi="Times New Roman" w:cs="Times New Roman"/>
                <w:sz w:val="24"/>
                <w:szCs w:val="24"/>
              </w:rPr>
            </w:pPr>
            <w:r w:rsidRPr="003C1C62">
              <w:rPr>
                <w:rFonts w:ascii="Times New Roman" w:hAnsi="Times New Roman" w:cs="Times New Roman"/>
                <w:sz w:val="24"/>
                <w:szCs w:val="24"/>
              </w:rPr>
              <w:t xml:space="preserve">Detailplaneeringu joonisel peavad olema kõik planeeritud mahud ühes versioonis välja joonistatud, et oleks võimalik veenduda, et planeeritavat on võimalik ellu viia ning oleks visualiseeritud kavandatava ehitusmahu maksimaalne ulatus. </w:t>
            </w:r>
            <w:r w:rsidR="001E5F5A" w:rsidRPr="001E5F5A">
              <w:rPr>
                <w:rFonts w:ascii="Times New Roman" w:hAnsi="Times New Roman" w:cs="Times New Roman"/>
                <w:sz w:val="24"/>
                <w:szCs w:val="24"/>
              </w:rPr>
              <w:t xml:space="preserve">Detailplaneeringu põhijoonisel on üks võimalikest lahendustest: betoonkaid, mille serva paigaldatakse ujuvkaid, et erineva veetaseme korral oleks võimalik sadamat (normaalselt) kasutada. Sadamarajatiste lõplikud mõõdud ja tehasetoodete valik selgitatakse välja projekteerimisel. Planeeritud sadamarajatiste detailne kuvamine põhijoonisel on vajalik, et hilisemas projekteerimise staadiumis oleks võimalik neid projekteerida, sest praktikas ei ole </w:t>
            </w:r>
            <w:r w:rsidR="001E5F5A" w:rsidRPr="001E5F5A">
              <w:rPr>
                <w:rFonts w:ascii="Times New Roman" w:hAnsi="Times New Roman" w:cs="Times New Roman"/>
                <w:sz w:val="24"/>
                <w:szCs w:val="24"/>
              </w:rPr>
              <w:lastRenderedPageBreak/>
              <w:t xml:space="preserve">Keskkonnaamet lubanud projekteerida ja ehitada neid sadamarajatisi, mida detailplaneering ei kajasta põhijoonisel. Vees toimuvate ehitus- ja süvendustööde eel on kohustuslik läbi </w:t>
            </w:r>
            <w:r w:rsidR="00A74DFD">
              <w:rPr>
                <w:rFonts w:ascii="Times New Roman" w:hAnsi="Times New Roman" w:cs="Times New Roman"/>
                <w:sz w:val="24"/>
                <w:szCs w:val="24"/>
              </w:rPr>
              <w:t xml:space="preserve">viia </w:t>
            </w:r>
            <w:r w:rsidR="001E5F5A" w:rsidRPr="001E5F5A">
              <w:rPr>
                <w:rFonts w:ascii="Times New Roman" w:hAnsi="Times New Roman" w:cs="Times New Roman"/>
                <w:sz w:val="24"/>
                <w:szCs w:val="24"/>
              </w:rPr>
              <w:t>KMH eelhinnang, kus Keskkonnaamet otsustab</w:t>
            </w:r>
            <w:r w:rsidR="00A74DFD">
              <w:rPr>
                <w:rFonts w:ascii="Times New Roman" w:hAnsi="Times New Roman" w:cs="Times New Roman"/>
                <w:sz w:val="24"/>
                <w:szCs w:val="24"/>
              </w:rPr>
              <w:t xml:space="preserve"> nii</w:t>
            </w:r>
            <w:r w:rsidR="001E5F5A" w:rsidRPr="001E5F5A">
              <w:rPr>
                <w:rFonts w:ascii="Times New Roman" w:hAnsi="Times New Roman" w:cs="Times New Roman"/>
                <w:sz w:val="24"/>
                <w:szCs w:val="24"/>
              </w:rPr>
              <w:t xml:space="preserve"> KMH läbiviimise</w:t>
            </w:r>
            <w:r w:rsidR="00A74DFD">
              <w:rPr>
                <w:rFonts w:ascii="Times New Roman" w:hAnsi="Times New Roman" w:cs="Times New Roman"/>
                <w:sz w:val="24"/>
                <w:szCs w:val="24"/>
              </w:rPr>
              <w:t>,</w:t>
            </w:r>
            <w:r w:rsidR="001E5F5A" w:rsidRPr="001E5F5A">
              <w:rPr>
                <w:rFonts w:ascii="Times New Roman" w:hAnsi="Times New Roman" w:cs="Times New Roman"/>
                <w:sz w:val="24"/>
                <w:szCs w:val="24"/>
              </w:rPr>
              <w:t xml:space="preserve"> kui vee erikasutusloa taotlemise vajalikkuse üle. Põhijoonisel on visualiseeritud muuli korrastamist, mille nõuetekohase nõlvuse tagamiseks, tuleb süvendada akvatooriumi servast 3-4 m juurde.</w:t>
            </w:r>
          </w:p>
        </w:tc>
      </w:tr>
      <w:tr w:rsidR="00426BFD" w14:paraId="0D273598" w14:textId="77777777" w:rsidTr="00426BFD">
        <w:trPr>
          <w:trHeight w:val="285"/>
        </w:trPr>
        <w:tc>
          <w:tcPr>
            <w:tcW w:w="1129" w:type="dxa"/>
            <w:vMerge/>
          </w:tcPr>
          <w:p w14:paraId="61138C4B" w14:textId="77777777" w:rsidR="00426BFD" w:rsidRDefault="00426BFD">
            <w:pPr>
              <w:rPr>
                <w:rFonts w:ascii="Times New Roman" w:hAnsi="Times New Roman" w:cs="Times New Roman"/>
                <w:sz w:val="24"/>
                <w:szCs w:val="24"/>
              </w:rPr>
            </w:pPr>
          </w:p>
        </w:tc>
        <w:tc>
          <w:tcPr>
            <w:tcW w:w="2552" w:type="dxa"/>
            <w:vMerge/>
          </w:tcPr>
          <w:p w14:paraId="45F9FCE7" w14:textId="77777777" w:rsidR="00426BFD" w:rsidRDefault="00426BFD">
            <w:pPr>
              <w:rPr>
                <w:rFonts w:ascii="Times New Roman" w:hAnsi="Times New Roman" w:cs="Times New Roman"/>
                <w:sz w:val="24"/>
                <w:szCs w:val="24"/>
              </w:rPr>
            </w:pPr>
          </w:p>
        </w:tc>
        <w:tc>
          <w:tcPr>
            <w:tcW w:w="4961" w:type="dxa"/>
          </w:tcPr>
          <w:p w14:paraId="2267F3B9" w14:textId="67DB8EAC" w:rsidR="00426BFD" w:rsidRDefault="001E5F5A">
            <w:pPr>
              <w:rPr>
                <w:rFonts w:ascii="Times New Roman" w:hAnsi="Times New Roman" w:cs="Times New Roman"/>
                <w:sz w:val="24"/>
                <w:szCs w:val="24"/>
              </w:rPr>
            </w:pPr>
            <w:r w:rsidRPr="00E05D78">
              <w:rPr>
                <w:rFonts w:ascii="Times New Roman" w:hAnsi="Times New Roman" w:cs="Times New Roman"/>
                <w:sz w:val="24"/>
                <w:szCs w:val="24"/>
                <w:u w:val="single"/>
              </w:rPr>
              <w:t>Ettepanek 6</w:t>
            </w:r>
            <w:r w:rsidRPr="001E5F5A">
              <w:rPr>
                <w:rFonts w:ascii="Times New Roman" w:hAnsi="Times New Roman" w:cs="Times New Roman"/>
                <w:sz w:val="24"/>
                <w:szCs w:val="24"/>
              </w:rPr>
              <w:t>: kaaluda pääsu kallasrajale Meremäe ja Sadama kinnistu piiril.</w:t>
            </w:r>
          </w:p>
        </w:tc>
        <w:tc>
          <w:tcPr>
            <w:tcW w:w="5352" w:type="dxa"/>
          </w:tcPr>
          <w:p w14:paraId="08FDD6D4" w14:textId="0D1C6F66" w:rsidR="00426BFD" w:rsidRDefault="00853957" w:rsidP="00853957">
            <w:pPr>
              <w:rPr>
                <w:rFonts w:ascii="Times New Roman" w:hAnsi="Times New Roman" w:cs="Times New Roman"/>
                <w:sz w:val="24"/>
                <w:szCs w:val="24"/>
              </w:rPr>
            </w:pPr>
            <w:r w:rsidRPr="00853957">
              <w:rPr>
                <w:rFonts w:ascii="Times New Roman" w:hAnsi="Times New Roman" w:cs="Times New Roman"/>
                <w:sz w:val="24"/>
                <w:szCs w:val="24"/>
              </w:rPr>
              <w:t xml:space="preserve">Planeeringu koostamisel ajal kaaluti erinevaid võimalusi avaliku juurdepääsu tagamiseks kallasrajale ning </w:t>
            </w:r>
            <w:r w:rsidR="00A74DFD">
              <w:rPr>
                <w:rFonts w:ascii="Times New Roman" w:hAnsi="Times New Roman" w:cs="Times New Roman"/>
                <w:sz w:val="24"/>
                <w:szCs w:val="24"/>
              </w:rPr>
              <w:t>leitud</w:t>
            </w:r>
            <w:r w:rsidRPr="00853957">
              <w:rPr>
                <w:rFonts w:ascii="Times New Roman" w:hAnsi="Times New Roman" w:cs="Times New Roman"/>
                <w:sz w:val="24"/>
                <w:szCs w:val="24"/>
              </w:rPr>
              <w:t xml:space="preserve"> lahendus on kantud planeeringu põhijoonisele. Avalik juurdepääs kallarajale on tagatud piki Meremäe maaüksuse põhja ja lääne piiri</w:t>
            </w:r>
            <w:r w:rsidRPr="003C1C62">
              <w:rPr>
                <w:rFonts w:ascii="Times New Roman" w:hAnsi="Times New Roman" w:cs="Times New Roman"/>
                <w:sz w:val="24"/>
                <w:szCs w:val="24"/>
              </w:rPr>
              <w:t xml:space="preserve">. </w:t>
            </w:r>
            <w:r w:rsidR="006B18FE" w:rsidRPr="003C1C62">
              <w:rPr>
                <w:rFonts w:ascii="Times New Roman" w:hAnsi="Times New Roman" w:cs="Times New Roman"/>
                <w:sz w:val="24"/>
                <w:szCs w:val="24"/>
              </w:rPr>
              <w:t>Kuna sadama alal puudub kallasrada, siis ei ole mööda Meremäe ja Sadama kinnistute vahelist piiri võimalik pääseda kallasrajale.</w:t>
            </w:r>
          </w:p>
        </w:tc>
      </w:tr>
      <w:tr w:rsidR="00426BFD" w14:paraId="37CFCACB" w14:textId="77777777" w:rsidTr="00426BFD">
        <w:tc>
          <w:tcPr>
            <w:tcW w:w="1129" w:type="dxa"/>
          </w:tcPr>
          <w:p w14:paraId="75908492" w14:textId="45CCAAC4" w:rsidR="00426BFD" w:rsidRDefault="00426BFD">
            <w:pPr>
              <w:rPr>
                <w:rFonts w:ascii="Times New Roman" w:hAnsi="Times New Roman" w:cs="Times New Roman"/>
                <w:sz w:val="24"/>
                <w:szCs w:val="24"/>
              </w:rPr>
            </w:pPr>
            <w:r>
              <w:rPr>
                <w:rFonts w:ascii="Times New Roman" w:hAnsi="Times New Roman" w:cs="Times New Roman"/>
                <w:sz w:val="24"/>
                <w:szCs w:val="24"/>
              </w:rPr>
              <w:t>2.</w:t>
            </w:r>
          </w:p>
        </w:tc>
        <w:tc>
          <w:tcPr>
            <w:tcW w:w="2552" w:type="dxa"/>
          </w:tcPr>
          <w:p w14:paraId="2FC6514C" w14:textId="77777777" w:rsidR="00426BFD" w:rsidRPr="00A40BCE" w:rsidRDefault="00E05D78">
            <w:pPr>
              <w:rPr>
                <w:rFonts w:ascii="Times New Roman" w:hAnsi="Times New Roman" w:cs="Times New Roman"/>
                <w:b/>
                <w:bCs/>
                <w:sz w:val="24"/>
                <w:szCs w:val="24"/>
              </w:rPr>
            </w:pPr>
            <w:r w:rsidRPr="00A40BCE">
              <w:rPr>
                <w:rFonts w:ascii="Times New Roman" w:hAnsi="Times New Roman" w:cs="Times New Roman"/>
                <w:b/>
                <w:bCs/>
                <w:sz w:val="24"/>
                <w:szCs w:val="24"/>
              </w:rPr>
              <w:t>Maa- ja Ruumiamet</w:t>
            </w:r>
          </w:p>
          <w:p w14:paraId="31642F8A" w14:textId="77777777" w:rsidR="00E05D78" w:rsidRDefault="00E05D78">
            <w:pPr>
              <w:rPr>
                <w:rFonts w:ascii="Times New Roman" w:hAnsi="Times New Roman" w:cs="Times New Roman"/>
                <w:sz w:val="24"/>
                <w:szCs w:val="24"/>
              </w:rPr>
            </w:pPr>
            <w:r>
              <w:rPr>
                <w:rFonts w:ascii="Times New Roman" w:hAnsi="Times New Roman" w:cs="Times New Roman"/>
                <w:sz w:val="24"/>
                <w:szCs w:val="24"/>
              </w:rPr>
              <w:t xml:space="preserve">26.03.2025 </w:t>
            </w:r>
          </w:p>
          <w:p w14:paraId="443ACFC6" w14:textId="7D75F5D0" w:rsidR="00E05D78" w:rsidRDefault="00E05D78">
            <w:pPr>
              <w:rPr>
                <w:rFonts w:ascii="Times New Roman" w:hAnsi="Times New Roman" w:cs="Times New Roman"/>
                <w:sz w:val="24"/>
                <w:szCs w:val="24"/>
              </w:rPr>
            </w:pPr>
            <w:r>
              <w:rPr>
                <w:rFonts w:ascii="Times New Roman" w:hAnsi="Times New Roman" w:cs="Times New Roman"/>
                <w:sz w:val="24"/>
                <w:szCs w:val="24"/>
              </w:rPr>
              <w:t xml:space="preserve">nr </w:t>
            </w:r>
            <w:r w:rsidRPr="00E05D78">
              <w:rPr>
                <w:rFonts w:ascii="Times New Roman" w:hAnsi="Times New Roman" w:cs="Times New Roman"/>
                <w:sz w:val="24"/>
                <w:szCs w:val="24"/>
              </w:rPr>
              <w:t>6-3/25/1493-2</w:t>
            </w:r>
          </w:p>
        </w:tc>
        <w:tc>
          <w:tcPr>
            <w:tcW w:w="4961" w:type="dxa"/>
          </w:tcPr>
          <w:p w14:paraId="3584514C" w14:textId="16DDED2B" w:rsidR="00853957" w:rsidRPr="00853957" w:rsidRDefault="00853957" w:rsidP="00853957">
            <w:pPr>
              <w:rPr>
                <w:rFonts w:ascii="Times New Roman" w:hAnsi="Times New Roman" w:cs="Times New Roman"/>
                <w:sz w:val="24"/>
                <w:szCs w:val="24"/>
              </w:rPr>
            </w:pPr>
            <w:r>
              <w:rPr>
                <w:rFonts w:ascii="Times New Roman" w:hAnsi="Times New Roman" w:cs="Times New Roman"/>
                <w:sz w:val="24"/>
                <w:szCs w:val="24"/>
              </w:rPr>
              <w:t>S</w:t>
            </w:r>
            <w:r w:rsidRPr="00853957">
              <w:rPr>
                <w:rFonts w:ascii="Times New Roman" w:hAnsi="Times New Roman" w:cs="Times New Roman"/>
                <w:sz w:val="24"/>
                <w:szCs w:val="24"/>
              </w:rPr>
              <w:t xml:space="preserve">eletuskiri ja põhijoonis </w:t>
            </w:r>
            <w:r>
              <w:rPr>
                <w:rFonts w:ascii="Times New Roman" w:hAnsi="Times New Roman" w:cs="Times New Roman"/>
                <w:sz w:val="24"/>
                <w:szCs w:val="24"/>
              </w:rPr>
              <w:t xml:space="preserve">ei ole </w:t>
            </w:r>
            <w:r w:rsidRPr="00853957">
              <w:rPr>
                <w:rFonts w:ascii="Times New Roman" w:hAnsi="Times New Roman" w:cs="Times New Roman"/>
                <w:sz w:val="24"/>
                <w:szCs w:val="24"/>
              </w:rPr>
              <w:t>kooskõlas ning kruntide Pos 1 ja Pos 2 ehitusõigus ei ole selgelt ja üheselt mõistetavalt määratud. Seega tulenevalt eelnevast tuleb:</w:t>
            </w:r>
          </w:p>
          <w:p w14:paraId="302F90D3" w14:textId="77777777" w:rsidR="00853957" w:rsidRPr="00853957" w:rsidRDefault="00853957" w:rsidP="00853957">
            <w:pPr>
              <w:rPr>
                <w:rFonts w:ascii="Times New Roman" w:hAnsi="Times New Roman" w:cs="Times New Roman"/>
                <w:sz w:val="24"/>
                <w:szCs w:val="24"/>
              </w:rPr>
            </w:pPr>
            <w:r w:rsidRPr="00853957">
              <w:rPr>
                <w:rFonts w:ascii="Times New Roman" w:hAnsi="Times New Roman" w:cs="Times New Roman"/>
                <w:sz w:val="24"/>
                <w:szCs w:val="24"/>
              </w:rPr>
              <w:t>- seletuskiri ja põhijoonis kooskõlla viia;</w:t>
            </w:r>
          </w:p>
          <w:p w14:paraId="2BD3BBAE" w14:textId="77777777" w:rsidR="00853957" w:rsidRPr="00853957" w:rsidRDefault="00853957" w:rsidP="00853957">
            <w:pPr>
              <w:rPr>
                <w:rFonts w:ascii="Times New Roman" w:hAnsi="Times New Roman" w:cs="Times New Roman"/>
                <w:sz w:val="24"/>
                <w:szCs w:val="24"/>
              </w:rPr>
            </w:pPr>
            <w:r w:rsidRPr="00853957">
              <w:rPr>
                <w:rFonts w:ascii="Times New Roman" w:hAnsi="Times New Roman" w:cs="Times New Roman"/>
                <w:sz w:val="24"/>
                <w:szCs w:val="24"/>
              </w:rPr>
              <w:t>- põhijoonisel asjakohased andmed nähtavaks ja loetavaks teha;</w:t>
            </w:r>
          </w:p>
          <w:p w14:paraId="1F41A6CA" w14:textId="5AE0381A" w:rsidR="00426BFD" w:rsidRDefault="00853957" w:rsidP="00E05D78">
            <w:pPr>
              <w:rPr>
                <w:rFonts w:ascii="Times New Roman" w:hAnsi="Times New Roman" w:cs="Times New Roman"/>
                <w:sz w:val="24"/>
                <w:szCs w:val="24"/>
              </w:rPr>
            </w:pPr>
            <w:r w:rsidRPr="00853957">
              <w:rPr>
                <w:rFonts w:ascii="Times New Roman" w:hAnsi="Times New Roman" w:cs="Times New Roman"/>
                <w:sz w:val="24"/>
                <w:szCs w:val="24"/>
              </w:rPr>
              <w:t>- selgelt ja üheselt mõistetavalt määrata kruntide Pos 1 ja Pos 2 ehitusõigus, sh tuleb ehitusõigus määrata ka rajatistele.</w:t>
            </w:r>
          </w:p>
        </w:tc>
        <w:tc>
          <w:tcPr>
            <w:tcW w:w="5352" w:type="dxa"/>
          </w:tcPr>
          <w:p w14:paraId="34A84E47" w14:textId="5D26BAB6" w:rsidR="00426BFD" w:rsidRDefault="00853957" w:rsidP="00853957">
            <w:pPr>
              <w:rPr>
                <w:rFonts w:ascii="Times New Roman" w:hAnsi="Times New Roman" w:cs="Times New Roman"/>
                <w:sz w:val="24"/>
                <w:szCs w:val="24"/>
              </w:rPr>
            </w:pPr>
            <w:r w:rsidRPr="00853957">
              <w:rPr>
                <w:rFonts w:ascii="Times New Roman" w:hAnsi="Times New Roman" w:cs="Times New Roman"/>
                <w:sz w:val="24"/>
                <w:szCs w:val="24"/>
              </w:rPr>
              <w:t>Detailplaneeringuga on määratud ehitusõigus ehitusloa kohustuslikele ehi</w:t>
            </w:r>
            <w:r>
              <w:rPr>
                <w:rFonts w:ascii="Times New Roman" w:hAnsi="Times New Roman" w:cs="Times New Roman"/>
                <w:sz w:val="24"/>
                <w:szCs w:val="24"/>
              </w:rPr>
              <w:t>ti</w:t>
            </w:r>
            <w:r w:rsidRPr="00853957">
              <w:rPr>
                <w:rFonts w:ascii="Times New Roman" w:hAnsi="Times New Roman" w:cs="Times New Roman"/>
                <w:sz w:val="24"/>
                <w:szCs w:val="24"/>
              </w:rPr>
              <w:t>stele.</w:t>
            </w:r>
            <w:r>
              <w:rPr>
                <w:rFonts w:ascii="Times New Roman" w:hAnsi="Times New Roman" w:cs="Times New Roman"/>
                <w:sz w:val="24"/>
                <w:szCs w:val="24"/>
              </w:rPr>
              <w:t xml:space="preserve"> </w:t>
            </w:r>
            <w:r w:rsidRPr="00853957">
              <w:rPr>
                <w:rFonts w:ascii="Times New Roman" w:hAnsi="Times New Roman" w:cs="Times New Roman"/>
                <w:sz w:val="24"/>
                <w:szCs w:val="24"/>
              </w:rPr>
              <w:t>Konsulteerides Maa- ja Ruumiame</w:t>
            </w:r>
            <w:r>
              <w:rPr>
                <w:rFonts w:ascii="Times New Roman" w:hAnsi="Times New Roman" w:cs="Times New Roman"/>
                <w:sz w:val="24"/>
                <w:szCs w:val="24"/>
              </w:rPr>
              <w:t>ti</w:t>
            </w:r>
            <w:r w:rsidRPr="00853957">
              <w:rPr>
                <w:rFonts w:ascii="Times New Roman" w:hAnsi="Times New Roman" w:cs="Times New Roman"/>
                <w:sz w:val="24"/>
                <w:szCs w:val="24"/>
              </w:rPr>
              <w:t>ga, tehakse selguse huvides planeeringu seletuskirjas ja põhijoonisel vastavad korrek</w:t>
            </w:r>
            <w:r w:rsidR="00A74DFD">
              <w:rPr>
                <w:rFonts w:ascii="Times New Roman" w:hAnsi="Times New Roman" w:cs="Times New Roman"/>
                <w:sz w:val="24"/>
                <w:szCs w:val="24"/>
              </w:rPr>
              <w:t>t</w:t>
            </w:r>
            <w:r w:rsidRPr="00853957">
              <w:rPr>
                <w:rFonts w:ascii="Times New Roman" w:hAnsi="Times New Roman" w:cs="Times New Roman"/>
                <w:sz w:val="24"/>
                <w:szCs w:val="24"/>
              </w:rPr>
              <w:t xml:space="preserve">uurid. </w:t>
            </w:r>
          </w:p>
        </w:tc>
      </w:tr>
    </w:tbl>
    <w:p w14:paraId="183BF463" w14:textId="77777777" w:rsidR="00426BFD" w:rsidRPr="00426BFD" w:rsidRDefault="00426BFD">
      <w:pPr>
        <w:rPr>
          <w:rFonts w:ascii="Times New Roman" w:hAnsi="Times New Roman" w:cs="Times New Roman"/>
          <w:sz w:val="24"/>
          <w:szCs w:val="24"/>
        </w:rPr>
      </w:pPr>
    </w:p>
    <w:sectPr w:rsidR="00426BFD" w:rsidRPr="00426BFD" w:rsidSect="00426BFD">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BFD"/>
    <w:rsid w:val="00196E3D"/>
    <w:rsid w:val="001E5F5A"/>
    <w:rsid w:val="003C1C62"/>
    <w:rsid w:val="003C5076"/>
    <w:rsid w:val="00426BFD"/>
    <w:rsid w:val="004E2974"/>
    <w:rsid w:val="005D655A"/>
    <w:rsid w:val="006B18FE"/>
    <w:rsid w:val="006F568F"/>
    <w:rsid w:val="00851988"/>
    <w:rsid w:val="00853957"/>
    <w:rsid w:val="00A40BCE"/>
    <w:rsid w:val="00A74DFD"/>
    <w:rsid w:val="00C8272D"/>
    <w:rsid w:val="00C82B63"/>
    <w:rsid w:val="00D56D92"/>
    <w:rsid w:val="00E05D7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F7A31"/>
  <w15:chartTrackingRefBased/>
  <w15:docId w15:val="{FDEEF056-16C8-48E3-BFD1-DDE477A3E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426B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426B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426BFD"/>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426BFD"/>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426BFD"/>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426BFD"/>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426BFD"/>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426BFD"/>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426BFD"/>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426BFD"/>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426BFD"/>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426BFD"/>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426BFD"/>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426BFD"/>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426BFD"/>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426BFD"/>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426BFD"/>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426BFD"/>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426B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426BFD"/>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426BFD"/>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426BFD"/>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426BFD"/>
    <w:pPr>
      <w:spacing w:before="160"/>
      <w:jc w:val="center"/>
    </w:pPr>
    <w:rPr>
      <w:i/>
      <w:iCs/>
      <w:color w:val="404040" w:themeColor="text1" w:themeTint="BF"/>
    </w:rPr>
  </w:style>
  <w:style w:type="character" w:customStyle="1" w:styleId="TsitaatMrk">
    <w:name w:val="Tsitaat Märk"/>
    <w:basedOn w:val="Liguvaikefont"/>
    <w:link w:val="Tsitaat"/>
    <w:uiPriority w:val="29"/>
    <w:rsid w:val="00426BFD"/>
    <w:rPr>
      <w:i/>
      <w:iCs/>
      <w:color w:val="404040" w:themeColor="text1" w:themeTint="BF"/>
    </w:rPr>
  </w:style>
  <w:style w:type="paragraph" w:styleId="Loendilik">
    <w:name w:val="List Paragraph"/>
    <w:basedOn w:val="Normaallaad"/>
    <w:uiPriority w:val="34"/>
    <w:qFormat/>
    <w:rsid w:val="00426BFD"/>
    <w:pPr>
      <w:ind w:left="720"/>
      <w:contextualSpacing/>
    </w:pPr>
  </w:style>
  <w:style w:type="character" w:styleId="Selgeltmrgatavrhutus">
    <w:name w:val="Intense Emphasis"/>
    <w:basedOn w:val="Liguvaikefont"/>
    <w:uiPriority w:val="21"/>
    <w:qFormat/>
    <w:rsid w:val="00426BFD"/>
    <w:rPr>
      <w:i/>
      <w:iCs/>
      <w:color w:val="0F4761" w:themeColor="accent1" w:themeShade="BF"/>
    </w:rPr>
  </w:style>
  <w:style w:type="paragraph" w:styleId="Selgeltmrgatavtsitaat">
    <w:name w:val="Intense Quote"/>
    <w:basedOn w:val="Normaallaad"/>
    <w:next w:val="Normaallaad"/>
    <w:link w:val="SelgeltmrgatavtsitaatMrk"/>
    <w:uiPriority w:val="30"/>
    <w:qFormat/>
    <w:rsid w:val="00426B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426BFD"/>
    <w:rPr>
      <w:i/>
      <w:iCs/>
      <w:color w:val="0F4761" w:themeColor="accent1" w:themeShade="BF"/>
    </w:rPr>
  </w:style>
  <w:style w:type="character" w:styleId="Selgeltmrgatavviide">
    <w:name w:val="Intense Reference"/>
    <w:basedOn w:val="Liguvaikefont"/>
    <w:uiPriority w:val="32"/>
    <w:qFormat/>
    <w:rsid w:val="00426BFD"/>
    <w:rPr>
      <w:b/>
      <w:bCs/>
      <w:smallCaps/>
      <w:color w:val="0F4761" w:themeColor="accent1" w:themeShade="BF"/>
      <w:spacing w:val="5"/>
    </w:rPr>
  </w:style>
  <w:style w:type="table" w:styleId="Kontuurtabel">
    <w:name w:val="Table Grid"/>
    <w:basedOn w:val="Normaaltabel"/>
    <w:uiPriority w:val="39"/>
    <w:rsid w:val="00426B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D7BAC585057C4D83FC929AAA437B08" ma:contentTypeVersion="8" ma:contentTypeDescription="Create a new document." ma:contentTypeScope="" ma:versionID="2c580f148d538b930d1f78d2c267c7c4">
  <xsd:schema xmlns:xsd="http://www.w3.org/2001/XMLSchema" xmlns:xs="http://www.w3.org/2001/XMLSchema" xmlns:p="http://schemas.microsoft.com/office/2006/metadata/properties" xmlns:ns3="c73833f6-cd81-44b9-a4a3-a71615c4af32" xmlns:ns4="44d6351c-75e1-4ce2-a847-5a9d55a9ff68" targetNamespace="http://schemas.microsoft.com/office/2006/metadata/properties" ma:root="true" ma:fieldsID="1b4fec5c291d7ffecde6a1a765da22cb" ns3:_="" ns4:_="">
    <xsd:import namespace="c73833f6-cd81-44b9-a4a3-a71615c4af32"/>
    <xsd:import namespace="44d6351c-75e1-4ce2-a847-5a9d55a9ff68"/>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3833f6-cd81-44b9-a4a3-a71615c4af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d6351c-75e1-4ce2-a847-5a9d55a9ff6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c73833f6-cd81-44b9-a4a3-a71615c4af32" xsi:nil="true"/>
  </documentManagement>
</p:properties>
</file>

<file path=customXml/itemProps1.xml><?xml version="1.0" encoding="utf-8"?>
<ds:datastoreItem xmlns:ds="http://schemas.openxmlformats.org/officeDocument/2006/customXml" ds:itemID="{B8187B7B-B636-4C56-9BB7-E3284B885F7C}">
  <ds:schemaRefs>
    <ds:schemaRef ds:uri="http://schemas.microsoft.com/sharepoint/v3/contenttype/forms"/>
  </ds:schemaRefs>
</ds:datastoreItem>
</file>

<file path=customXml/itemProps2.xml><?xml version="1.0" encoding="utf-8"?>
<ds:datastoreItem xmlns:ds="http://schemas.openxmlformats.org/officeDocument/2006/customXml" ds:itemID="{4B4C5C21-3AB0-4EA1-96E9-D723634072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3833f6-cd81-44b9-a4a3-a71615c4af32"/>
    <ds:schemaRef ds:uri="44d6351c-75e1-4ce2-a847-5a9d55a9ff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B2A10F-A6BF-4E1C-883B-60A90DBEC474}">
  <ds:schemaRefs>
    <ds:schemaRef ds:uri="http://www.w3.org/XML/1998/namespace"/>
    <ds:schemaRef ds:uri="http://schemas.microsoft.com/office/2006/documentManagement/types"/>
    <ds:schemaRef ds:uri="c73833f6-cd81-44b9-a4a3-a71615c4af32"/>
    <ds:schemaRef ds:uri="http://purl.org/dc/terms/"/>
    <ds:schemaRef ds:uri="http://purl.org/dc/elements/1.1/"/>
    <ds:schemaRef ds:uri="44d6351c-75e1-4ce2-a847-5a9d55a9ff68"/>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4</Pages>
  <Words>1008</Words>
  <Characters>5852</Characters>
  <Application>Microsoft Office Word</Application>
  <DocSecurity>0</DocSecurity>
  <Lines>48</Lines>
  <Paragraphs>13</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 Julge</dc:creator>
  <cp:keywords/>
  <dc:description/>
  <cp:lastModifiedBy>Mai Julge</cp:lastModifiedBy>
  <cp:revision>4</cp:revision>
  <dcterms:created xsi:type="dcterms:W3CDTF">2025-04-10T11:02:00Z</dcterms:created>
  <dcterms:modified xsi:type="dcterms:W3CDTF">2025-04-11T07:13:00Z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0x010100ECD7BAC585057C4D83FC929AAA437B08</vt:lpwstr>
  </property>
</Properties>
</file>